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C08BA" w14:textId="2527DEC4" w:rsidR="00A00FF6" w:rsidRPr="00050341" w:rsidRDefault="00A00FF6" w:rsidP="00050341">
      <w:pPr>
        <w:jc w:val="center"/>
        <w:rPr>
          <w:b/>
          <w:bCs/>
        </w:rPr>
      </w:pPr>
      <w:r w:rsidRPr="00050341">
        <w:rPr>
          <w:b/>
          <w:bCs/>
        </w:rPr>
        <w:t>SEZNÁMENÍ PRÁVNICKÝCH A FYZICKÝCH OSOBY S CHARAKTEREM MOŽNÉHO OHROŽENÍ, S PŘIPRAVENÝMI KRIZOVÝMI OPATŘENÍMI A SE ZPŮSOBEM JEJICH PROVEDEN</w:t>
      </w:r>
      <w:r w:rsidRPr="00050341">
        <w:rPr>
          <w:b/>
          <w:bCs/>
        </w:rPr>
        <w:t>Í</w:t>
      </w:r>
    </w:p>
    <w:p w14:paraId="25CF24BD" w14:textId="77777777" w:rsidR="00A00FF6" w:rsidRDefault="00A00FF6" w:rsidP="00394120">
      <w:pPr>
        <w:jc w:val="both"/>
      </w:pPr>
    </w:p>
    <w:p w14:paraId="77792F0B" w14:textId="2387A4EF" w:rsidR="00394120" w:rsidRDefault="00394120" w:rsidP="00394120">
      <w:pPr>
        <w:jc w:val="both"/>
      </w:pPr>
      <w:r w:rsidRPr="00891275">
        <w:rPr>
          <w:b/>
        </w:rPr>
        <w:t>Metodika a výsledky Analýzy ohrožení:</w:t>
      </w:r>
    </w:p>
    <w:p w14:paraId="341A416D" w14:textId="28A5A1E4" w:rsidR="00640C69" w:rsidRDefault="00394120" w:rsidP="00640C69">
      <w:pPr>
        <w:spacing w:after="120"/>
        <w:jc w:val="both"/>
      </w:pPr>
      <w:r w:rsidRPr="007054D1">
        <w:t xml:space="preserve">Celkem bylo </w:t>
      </w:r>
      <w:r>
        <w:t xml:space="preserve">pro území kraje </w:t>
      </w:r>
      <w:r w:rsidR="00640C69">
        <w:t>stanoveno</w:t>
      </w:r>
      <w:r w:rsidRPr="007054D1">
        <w:t xml:space="preserve"> 7</w:t>
      </w:r>
      <w:r>
        <w:t>1</w:t>
      </w:r>
      <w:r w:rsidRPr="007054D1">
        <w:t xml:space="preserve"> typů nebezpečí. </w:t>
      </w:r>
      <w:r>
        <w:t>28 typů nebylo hodnoceno z důvodu zjištění velmi nízkého celkového rizika v rámci předběžné analýzy nebo z důvodu, že se jedná o nebezpečí, která nelze řešit z úrovně kraje,</w:t>
      </w:r>
      <w:r w:rsidRPr="007054D1">
        <w:t xml:space="preserve"> a t</w:t>
      </w:r>
      <w:r>
        <w:t>ato nebezpečí</w:t>
      </w:r>
      <w:r w:rsidRPr="007054D1">
        <w:t xml:space="preserve"> nebyl</w:t>
      </w:r>
      <w:r>
        <w:t>a dále zahrnuta do podrobného hodnocení celkového rizika</w:t>
      </w:r>
      <w:r w:rsidRPr="007054D1">
        <w:t>.</w:t>
      </w:r>
      <w:r>
        <w:t xml:space="preserve"> </w:t>
      </w:r>
      <w:r w:rsidR="00640C69">
        <w:t>6 typů nebezpečí je určeno z centrální úrovně jako nebezpečí, která budou obligatorně zahrnuta mezi nebezpečí s nepřijatelnou mírou celkového rizika a budou rozpracována v krizových plánech krajů a ORP</w:t>
      </w:r>
    </w:p>
    <w:p w14:paraId="345DA974" w14:textId="77777777" w:rsidR="00FE3B97" w:rsidRDefault="00FE3B97" w:rsidP="00B9797C">
      <w:pPr>
        <w:jc w:val="both"/>
      </w:pPr>
    </w:p>
    <w:p w14:paraId="006ADAD4" w14:textId="727C15FD" w:rsidR="00D11A12" w:rsidRPr="00D11A12" w:rsidRDefault="00D11A12" w:rsidP="00D11A12">
      <w:pPr>
        <w:jc w:val="both"/>
      </w:pPr>
      <w:r w:rsidRPr="00D11A12">
        <w:rPr>
          <w:b/>
        </w:rPr>
        <w:t>Výsledky multikriteriální analýzy</w:t>
      </w:r>
      <w:r w:rsidR="0036233B">
        <w:rPr>
          <w:b/>
        </w:rPr>
        <w:t xml:space="preserve"> pro území Karlovarského kraje</w:t>
      </w:r>
      <w:r w:rsidRPr="00D11A12">
        <w:rPr>
          <w:b/>
        </w:rPr>
        <w:t>:</w:t>
      </w:r>
    </w:p>
    <w:p w14:paraId="1E59A88C" w14:textId="32B3AAEA" w:rsidR="00D11A12" w:rsidRPr="00D11A12" w:rsidRDefault="00D11A12" w:rsidP="00D11A12">
      <w:pPr>
        <w:pStyle w:val="Odstavecseseznamem"/>
        <w:numPr>
          <w:ilvl w:val="0"/>
          <w:numId w:val="10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A12">
        <w:rPr>
          <w:rFonts w:ascii="Times New Roman" w:hAnsi="Times New Roman" w:cs="Times New Roman"/>
          <w:b/>
          <w:sz w:val="24"/>
          <w:szCs w:val="24"/>
        </w:rPr>
        <w:t>Rizika nepřijatelná</w:t>
      </w:r>
      <w:r w:rsidRPr="00D11A12">
        <w:rPr>
          <w:rFonts w:ascii="Times New Roman" w:hAnsi="Times New Roman" w:cs="Times New Roman"/>
          <w:sz w:val="24"/>
          <w:szCs w:val="24"/>
        </w:rPr>
        <w:t xml:space="preserve"> (12 </w:t>
      </w:r>
      <w:r>
        <w:rPr>
          <w:rFonts w:ascii="Times New Roman" w:hAnsi="Times New Roman" w:cs="Times New Roman"/>
          <w:sz w:val="24"/>
          <w:szCs w:val="24"/>
        </w:rPr>
        <w:t>hrozeb</w:t>
      </w:r>
      <w:r w:rsidRPr="00D11A12">
        <w:rPr>
          <w:rFonts w:ascii="Times New Roman" w:hAnsi="Times New Roman" w:cs="Times New Roman"/>
          <w:sz w:val="24"/>
          <w:szCs w:val="24"/>
        </w:rPr>
        <w:t>) – představují kategorii, které je nutné dát na všech stupních veřejné správy nejvyšší prioritu. Opatření vedoucí k jejich eliminaci spadají do oblasti přípravy na řešení krizových situací především v rámci krizového plánování. Reakce na tato nebezpečí budou zpracovány v Krizovém plánu Karlovarského kraje.</w:t>
      </w:r>
    </w:p>
    <w:p w14:paraId="70A3B8CE" w14:textId="77777777" w:rsidR="00D11A12" w:rsidRPr="00D11A12" w:rsidRDefault="00D11A12" w:rsidP="001E15CE">
      <w:pPr>
        <w:pStyle w:val="Odstavecseseznamem"/>
        <w:numPr>
          <w:ilvl w:val="1"/>
          <w:numId w:val="10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12">
        <w:rPr>
          <w:rFonts w:ascii="Times New Roman" w:hAnsi="Times New Roman" w:cs="Times New Roman"/>
          <w:b/>
          <w:sz w:val="24"/>
          <w:szCs w:val="24"/>
        </w:rPr>
        <w:t>Rizika nepřijatelná určená z centrální úrovně</w:t>
      </w:r>
    </w:p>
    <w:tbl>
      <w:tblPr>
        <w:tblW w:w="7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3"/>
      </w:tblGrid>
      <w:tr w:rsidR="00D11A12" w:rsidRPr="00D11A12" w14:paraId="14F3170E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53F5BA26" w14:textId="77777777" w:rsidR="00D11A12" w:rsidRPr="00D11A12" w:rsidRDefault="00D11A12" w:rsidP="008F0FE0">
            <w:pPr>
              <w:jc w:val="both"/>
            </w:pPr>
            <w:r w:rsidRPr="00D11A12">
              <w:t>Migrační vlny velkého rozsahu</w:t>
            </w:r>
          </w:p>
        </w:tc>
      </w:tr>
      <w:tr w:rsidR="00D11A12" w:rsidRPr="00D11A12" w14:paraId="34803E0C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4CC81FFE" w14:textId="77777777" w:rsidR="00D11A12" w:rsidRPr="00D11A12" w:rsidRDefault="00D11A12" w:rsidP="00640C69">
            <w:r w:rsidRPr="00D11A12">
              <w:t>Narušení bezpečnosti informací kritické informační infrastruktury</w:t>
            </w:r>
          </w:p>
        </w:tc>
      </w:tr>
      <w:tr w:rsidR="00D11A12" w:rsidRPr="00D11A12" w14:paraId="4392DCEF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36D925FB" w14:textId="77777777" w:rsidR="00D11A12" w:rsidRPr="00D11A12" w:rsidRDefault="00D11A12" w:rsidP="008F0FE0">
            <w:pPr>
              <w:jc w:val="both"/>
            </w:pPr>
            <w:r w:rsidRPr="00D11A12">
              <w:t>Narušení dodávek potravin velkého rozsahu</w:t>
            </w:r>
          </w:p>
        </w:tc>
      </w:tr>
      <w:tr w:rsidR="00D11A12" w:rsidRPr="00D11A12" w14:paraId="533DEFC4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743292FD" w14:textId="77777777" w:rsidR="00D11A12" w:rsidRPr="00D11A12" w:rsidRDefault="00D11A12" w:rsidP="008F0FE0">
            <w:pPr>
              <w:jc w:val="both"/>
            </w:pPr>
            <w:r w:rsidRPr="00D11A12">
              <w:t>Narušení dodávek ropy a ropných produktů velkého rozsahu</w:t>
            </w:r>
          </w:p>
        </w:tc>
      </w:tr>
      <w:tr w:rsidR="00D11A12" w:rsidRPr="00D11A12" w14:paraId="256482DC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0A2415C9" w14:textId="77777777" w:rsidR="00D11A12" w:rsidRPr="00D11A12" w:rsidRDefault="00D11A12" w:rsidP="008F0FE0">
            <w:pPr>
              <w:jc w:val="both"/>
            </w:pPr>
            <w:r w:rsidRPr="00D11A12">
              <w:t>Narušení finančního a devizového hospodářství státu velkého rozsahu</w:t>
            </w:r>
          </w:p>
        </w:tc>
      </w:tr>
      <w:tr w:rsidR="00D11A12" w:rsidRPr="00D11A12" w14:paraId="501BCA2D" w14:textId="77777777" w:rsidTr="00640C69">
        <w:trPr>
          <w:trHeight w:val="312"/>
        </w:trPr>
        <w:tc>
          <w:tcPr>
            <w:tcW w:w="7483" w:type="dxa"/>
            <w:shd w:val="clear" w:color="000000" w:fill="auto"/>
            <w:noWrap/>
            <w:vAlign w:val="center"/>
          </w:tcPr>
          <w:p w14:paraId="1BFCE64D" w14:textId="77777777" w:rsidR="00D11A12" w:rsidRPr="00D11A12" w:rsidRDefault="00D11A12" w:rsidP="008F0FE0">
            <w:pPr>
              <w:jc w:val="both"/>
            </w:pPr>
            <w:r w:rsidRPr="00D11A12">
              <w:t>Narušení funkčnosti významných systémů elektronických komunikací</w:t>
            </w:r>
          </w:p>
        </w:tc>
      </w:tr>
    </w:tbl>
    <w:p w14:paraId="455A21A0" w14:textId="083A8E1A" w:rsidR="00E80537" w:rsidRDefault="00E80537" w:rsidP="00E80537">
      <w:pPr>
        <w:tabs>
          <w:tab w:val="right" w:pos="9089"/>
        </w:tabs>
        <w:ind w:left="17" w:right="11" w:hanging="11"/>
        <w:jc w:val="both"/>
      </w:pPr>
    </w:p>
    <w:p w14:paraId="3216AFC8" w14:textId="77777777" w:rsidR="00D11A12" w:rsidRPr="00D11A12" w:rsidRDefault="00D11A12" w:rsidP="001E15CE">
      <w:pPr>
        <w:pStyle w:val="Odstavecseseznamem"/>
        <w:numPr>
          <w:ilvl w:val="1"/>
          <w:numId w:val="10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12">
        <w:rPr>
          <w:rFonts w:ascii="Times New Roman" w:hAnsi="Times New Roman" w:cs="Times New Roman"/>
          <w:b/>
          <w:sz w:val="24"/>
          <w:szCs w:val="24"/>
        </w:rPr>
        <w:t xml:space="preserve">Rizika nepřijatelná určená na základě provedené analýzy ohrožení </w:t>
      </w:r>
    </w:p>
    <w:tbl>
      <w:tblPr>
        <w:tblW w:w="7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7"/>
      </w:tblGrid>
      <w:tr w:rsidR="00D11A12" w:rsidRPr="00D11A12" w14:paraId="760DEB23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2B6252C4" w14:textId="77777777" w:rsidR="00D11A12" w:rsidRPr="00D11A12" w:rsidRDefault="00D11A12" w:rsidP="008F0FE0">
            <w:pPr>
              <w:jc w:val="both"/>
            </w:pPr>
            <w:r w:rsidRPr="00D11A12">
              <w:t>Extrémní vítr</w:t>
            </w:r>
          </w:p>
        </w:tc>
      </w:tr>
      <w:tr w:rsidR="00D11A12" w:rsidRPr="00D11A12" w14:paraId="718B1C76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0F0297ED" w14:textId="77777777" w:rsidR="00D11A12" w:rsidRPr="00D11A12" w:rsidRDefault="00D11A12" w:rsidP="008F0FE0">
            <w:pPr>
              <w:jc w:val="both"/>
            </w:pPr>
            <w:r w:rsidRPr="00D11A12">
              <w:t>Narušení dodávek elektrické energie velkého rozsahu</w:t>
            </w:r>
          </w:p>
        </w:tc>
      </w:tr>
      <w:tr w:rsidR="00D11A12" w:rsidRPr="00D11A12" w14:paraId="3FB84302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00CFD202" w14:textId="77777777" w:rsidR="00D11A12" w:rsidRPr="00D11A12" w:rsidRDefault="00D11A12" w:rsidP="008F0FE0">
            <w:pPr>
              <w:jc w:val="both"/>
            </w:pPr>
            <w:r w:rsidRPr="00D11A12">
              <w:t>Povodeň</w:t>
            </w:r>
          </w:p>
        </w:tc>
      </w:tr>
      <w:tr w:rsidR="00D11A12" w:rsidRPr="00D11A12" w14:paraId="72B389A9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1AEF8AFB" w14:textId="77777777" w:rsidR="00D11A12" w:rsidRPr="00D11A12" w:rsidRDefault="00D11A12" w:rsidP="008F0FE0">
            <w:pPr>
              <w:jc w:val="both"/>
            </w:pPr>
            <w:r w:rsidRPr="00D11A12">
              <w:t>Zvláštní povodeň</w:t>
            </w:r>
          </w:p>
        </w:tc>
      </w:tr>
      <w:tr w:rsidR="00D11A12" w:rsidRPr="00D11A12" w14:paraId="77E85512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6CB5075C" w14:textId="77777777" w:rsidR="00D11A12" w:rsidRPr="00D11A12" w:rsidRDefault="00D11A12" w:rsidP="008F0FE0">
            <w:pPr>
              <w:jc w:val="both"/>
            </w:pPr>
            <w:r w:rsidRPr="00D11A12">
              <w:t>Přívalová povodeň</w:t>
            </w:r>
          </w:p>
        </w:tc>
      </w:tr>
      <w:tr w:rsidR="00D11A12" w:rsidRPr="00D11A12" w14:paraId="191916D7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57DECADB" w14:textId="58C3A837" w:rsidR="00D11A12" w:rsidRPr="00D11A12" w:rsidRDefault="00D11A12" w:rsidP="008F0FE0">
            <w:pPr>
              <w:jc w:val="both"/>
            </w:pPr>
            <w:r w:rsidRPr="00D11A12">
              <w:t>Epidemie – hromadné nákazy osob</w:t>
            </w:r>
          </w:p>
        </w:tc>
      </w:tr>
    </w:tbl>
    <w:p w14:paraId="27148F19" w14:textId="77777777" w:rsidR="00D11A12" w:rsidRPr="00D11A12" w:rsidRDefault="00D11A12" w:rsidP="00D11A12">
      <w:pPr>
        <w:jc w:val="both"/>
      </w:pPr>
    </w:p>
    <w:p w14:paraId="1B56D8C5" w14:textId="77777777" w:rsidR="00083E0B" w:rsidRDefault="00083E0B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14:paraId="5AC279C9" w14:textId="1AD5E8F6" w:rsidR="00D11A12" w:rsidRPr="00D11A12" w:rsidRDefault="00D11A12" w:rsidP="001E15CE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Rizika podmínečně přijatelná</w:t>
      </w:r>
      <w:r w:rsidRPr="00D11A12">
        <w:rPr>
          <w:rFonts w:ascii="Times New Roman" w:hAnsi="Times New Roman" w:cs="Times New Roman"/>
          <w:bCs/>
          <w:sz w:val="24"/>
          <w:szCs w:val="24"/>
        </w:rPr>
        <w:t xml:space="preserve"> (17 </w:t>
      </w:r>
      <w:r w:rsidR="005D7950">
        <w:rPr>
          <w:rFonts w:ascii="Times New Roman" w:hAnsi="Times New Roman" w:cs="Times New Roman"/>
          <w:bCs/>
          <w:sz w:val="24"/>
          <w:szCs w:val="24"/>
        </w:rPr>
        <w:t>hrozeb</w:t>
      </w:r>
      <w:r w:rsidRPr="00D11A12">
        <w:rPr>
          <w:rFonts w:ascii="Times New Roman" w:hAnsi="Times New Roman" w:cs="Times New Roman"/>
          <w:bCs/>
          <w:sz w:val="24"/>
          <w:szCs w:val="24"/>
        </w:rPr>
        <w:t xml:space="preserve">) – </w:t>
      </w:r>
      <w:r w:rsidRPr="00D11A12">
        <w:rPr>
          <w:rFonts w:ascii="Times New Roman" w:hAnsi="Times New Roman" w:cs="Times New Roman"/>
          <w:sz w:val="24"/>
          <w:szCs w:val="24"/>
        </w:rPr>
        <w:t>vyžadují přijímání opatření vedoucích k jejich eliminaci. Opatření pro řešení nebezpečí v této kategorii spadají do oblasti přípravy na řešení mimořádných událostí a zahrnují především havarijní plánování a přípravu typových činností. Reakce na tato nebezpečí budou zapracována v Havarijním plánu Karlovarského kraje a v další dokumentaci složek IZS.</w:t>
      </w:r>
    </w:p>
    <w:tbl>
      <w:tblPr>
        <w:tblW w:w="7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7"/>
      </w:tblGrid>
      <w:tr w:rsidR="00D11A12" w:rsidRPr="00D11A12" w14:paraId="4EEBC705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5EAA8637" w14:textId="77777777" w:rsidR="00D11A12" w:rsidRPr="00D11A12" w:rsidRDefault="00D11A12" w:rsidP="008F0FE0">
            <w:pPr>
              <w:jc w:val="both"/>
            </w:pPr>
            <w:r w:rsidRPr="00D11A12">
              <w:t>Narušování zákonnosti velkého rozsahu (včetně terorismu)</w:t>
            </w:r>
          </w:p>
        </w:tc>
      </w:tr>
      <w:tr w:rsidR="00D11A12" w:rsidRPr="00D11A12" w14:paraId="74138701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463ED8E4" w14:textId="77777777" w:rsidR="00D11A12" w:rsidRPr="00D11A12" w:rsidRDefault="00D11A12" w:rsidP="008F0FE0">
            <w:pPr>
              <w:jc w:val="both"/>
            </w:pPr>
            <w:r w:rsidRPr="00D11A12">
              <w:t>Extrémně vysoké teploty</w:t>
            </w:r>
          </w:p>
        </w:tc>
      </w:tr>
      <w:tr w:rsidR="00D11A12" w:rsidRPr="00D11A12" w14:paraId="28B5C30C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2C2F2BF3" w14:textId="77777777" w:rsidR="00D11A12" w:rsidRPr="00D11A12" w:rsidRDefault="00D11A12" w:rsidP="008F0FE0">
            <w:pPr>
              <w:jc w:val="both"/>
            </w:pPr>
            <w:r w:rsidRPr="00D11A12">
              <w:t>Náledí a ledovka</w:t>
            </w:r>
          </w:p>
        </w:tc>
      </w:tr>
      <w:tr w:rsidR="00D11A12" w:rsidRPr="00D11A12" w14:paraId="40F9FC3A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60087EEC" w14:textId="77777777" w:rsidR="00D11A12" w:rsidRPr="00D11A12" w:rsidRDefault="00D11A12" w:rsidP="008F0FE0">
            <w:pPr>
              <w:jc w:val="both"/>
            </w:pPr>
            <w:r w:rsidRPr="00D11A12">
              <w:t>Narušení dodávek pitné vody velkého rozsahu</w:t>
            </w:r>
          </w:p>
        </w:tc>
      </w:tr>
      <w:tr w:rsidR="00D11A12" w:rsidRPr="00D11A12" w14:paraId="390BBA43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514E0467" w14:textId="77777777" w:rsidR="00D11A12" w:rsidRPr="00D11A12" w:rsidRDefault="00D11A12" w:rsidP="008F0FE0">
            <w:pPr>
              <w:jc w:val="both"/>
            </w:pPr>
            <w:r w:rsidRPr="00D11A12">
              <w:t>Závažná nehoda v letecké dopravě</w:t>
            </w:r>
          </w:p>
        </w:tc>
      </w:tr>
      <w:tr w:rsidR="00D11A12" w:rsidRPr="00D11A12" w14:paraId="0E035412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11F563D3" w14:textId="77777777" w:rsidR="00D11A12" w:rsidRPr="00D11A12" w:rsidRDefault="00D11A12" w:rsidP="008F0FE0">
            <w:pPr>
              <w:jc w:val="both"/>
            </w:pPr>
            <w:r w:rsidRPr="00D11A12">
              <w:t>Únik nebezpečné chemické látky při přepravě</w:t>
            </w:r>
          </w:p>
        </w:tc>
      </w:tr>
      <w:tr w:rsidR="00D11A12" w:rsidRPr="00D11A12" w14:paraId="5C2DB8D2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30BCF5C8" w14:textId="77777777" w:rsidR="00D11A12" w:rsidRPr="00D11A12" w:rsidRDefault="00D11A12" w:rsidP="008F0FE0">
            <w:pPr>
              <w:jc w:val="both"/>
            </w:pPr>
            <w:r w:rsidRPr="00D11A12">
              <w:t>Závažná nehoda v silniční dopravě</w:t>
            </w:r>
          </w:p>
        </w:tc>
      </w:tr>
      <w:tr w:rsidR="00D11A12" w:rsidRPr="00D11A12" w14:paraId="77CA1D82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61182ED9" w14:textId="77777777" w:rsidR="00D11A12" w:rsidRPr="00D11A12" w:rsidRDefault="00D11A12" w:rsidP="008F0FE0">
            <w:pPr>
              <w:jc w:val="both"/>
            </w:pPr>
            <w:r w:rsidRPr="00D11A12">
              <w:t>Narušení dodávek tepla velkého rozsahu</w:t>
            </w:r>
          </w:p>
        </w:tc>
      </w:tr>
      <w:tr w:rsidR="00D11A12" w:rsidRPr="00D11A12" w14:paraId="5443A8A9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2C36FAE3" w14:textId="77777777" w:rsidR="00D11A12" w:rsidRPr="00D11A12" w:rsidRDefault="00D11A12" w:rsidP="008F0FE0">
            <w:pPr>
              <w:jc w:val="both"/>
            </w:pPr>
            <w:r w:rsidRPr="00D11A12">
              <w:t>Závažná nehoda v drážní dopravě</w:t>
            </w:r>
          </w:p>
        </w:tc>
      </w:tr>
      <w:tr w:rsidR="00E53816" w:rsidRPr="00D11A12" w14:paraId="24B44954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3B7222F8" w14:textId="77777777" w:rsidR="00E53816" w:rsidRPr="00D11A12" w:rsidRDefault="00E53816" w:rsidP="008F0FE0">
            <w:pPr>
              <w:jc w:val="both"/>
            </w:pPr>
            <w:r w:rsidRPr="00D11A12">
              <w:t>Únik nebezpečné chemické látky ze stacionárního zařízení</w:t>
            </w:r>
          </w:p>
        </w:tc>
      </w:tr>
      <w:tr w:rsidR="00D11A12" w:rsidRPr="00D11A12" w14:paraId="0430D0BE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051EA872" w14:textId="77777777" w:rsidR="00D11A12" w:rsidRPr="00D11A12" w:rsidRDefault="00D11A12" w:rsidP="008F0FE0">
            <w:pPr>
              <w:jc w:val="both"/>
            </w:pPr>
            <w:r w:rsidRPr="00D11A12">
              <w:t>Výskyt extrémně nízké teploty</w:t>
            </w:r>
          </w:p>
        </w:tc>
      </w:tr>
      <w:tr w:rsidR="00E53816" w:rsidRPr="00D11A12" w14:paraId="605E73A3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2007A555" w14:textId="2D2FCFDA" w:rsidR="00E53816" w:rsidRPr="00D11A12" w:rsidRDefault="00E53816" w:rsidP="008F0FE0">
            <w:pPr>
              <w:jc w:val="both"/>
            </w:pPr>
            <w:r>
              <w:t>Námraza</w:t>
            </w:r>
          </w:p>
        </w:tc>
      </w:tr>
      <w:tr w:rsidR="00D11A12" w:rsidRPr="00D11A12" w14:paraId="1BF0101C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5FC4CCC2" w14:textId="77777777" w:rsidR="00D11A12" w:rsidRPr="00D11A12" w:rsidRDefault="00D11A12" w:rsidP="008F0FE0">
            <w:pPr>
              <w:jc w:val="both"/>
            </w:pPr>
            <w:r w:rsidRPr="00D11A12">
              <w:t>Dlouhodobé sucho</w:t>
            </w:r>
          </w:p>
        </w:tc>
      </w:tr>
      <w:tr w:rsidR="00E53816" w:rsidRPr="00D11A12" w14:paraId="3EFD1E66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70426A83" w14:textId="5A8059E7" w:rsidR="00E53816" w:rsidRPr="00D11A12" w:rsidRDefault="00E53816" w:rsidP="008F0FE0">
            <w:pPr>
              <w:jc w:val="both"/>
            </w:pPr>
            <w:r>
              <w:t>Požár v přírodě</w:t>
            </w:r>
          </w:p>
        </w:tc>
      </w:tr>
      <w:tr w:rsidR="00D11A12" w:rsidRPr="00D11A12" w14:paraId="1178E61B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63A6CFA5" w14:textId="77777777" w:rsidR="00D11A12" w:rsidRPr="00D11A12" w:rsidRDefault="00D11A12" w:rsidP="008F0FE0">
            <w:pPr>
              <w:jc w:val="both"/>
            </w:pPr>
            <w:r w:rsidRPr="00D11A12">
              <w:t>Narušení dodávek plynu velkého rozsahu</w:t>
            </w:r>
          </w:p>
        </w:tc>
      </w:tr>
      <w:tr w:rsidR="00D11A12" w:rsidRPr="00D11A12" w14:paraId="7E9B2E33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66204245" w14:textId="77777777" w:rsidR="00D11A12" w:rsidRPr="00D11A12" w:rsidRDefault="00D11A12" w:rsidP="008F0FE0">
            <w:pPr>
              <w:jc w:val="both"/>
            </w:pPr>
            <w:r w:rsidRPr="00D11A12">
              <w:t>Epizootie – hromadné nákazy zvířat</w:t>
            </w:r>
          </w:p>
        </w:tc>
      </w:tr>
      <w:tr w:rsidR="00D11A12" w:rsidRPr="00D11A12" w14:paraId="4B88B85E" w14:textId="77777777" w:rsidTr="00640C69">
        <w:trPr>
          <w:trHeight w:val="312"/>
        </w:trPr>
        <w:tc>
          <w:tcPr>
            <w:tcW w:w="7517" w:type="dxa"/>
            <w:shd w:val="clear" w:color="000000" w:fill="auto"/>
            <w:noWrap/>
            <w:vAlign w:val="center"/>
          </w:tcPr>
          <w:p w14:paraId="22485244" w14:textId="77777777" w:rsidR="00D11A12" w:rsidRPr="00D11A12" w:rsidRDefault="00D11A12" w:rsidP="008F0FE0">
            <w:pPr>
              <w:jc w:val="both"/>
            </w:pPr>
            <w:r w:rsidRPr="00D11A12">
              <w:t>Nález nevybuchlé munice</w:t>
            </w:r>
          </w:p>
        </w:tc>
      </w:tr>
    </w:tbl>
    <w:p w14:paraId="6ACB74F4" w14:textId="24A77CF8" w:rsidR="00FE3B97" w:rsidRDefault="00FE3B97" w:rsidP="00640C69">
      <w:pPr>
        <w:spacing w:line="259" w:lineRule="auto"/>
        <w:rPr>
          <w:b/>
        </w:rPr>
      </w:pPr>
    </w:p>
    <w:p w14:paraId="7C77861E" w14:textId="794AFC4E" w:rsidR="00D11A12" w:rsidRPr="00D11A12" w:rsidRDefault="00D11A12" w:rsidP="001E15CE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1A12">
        <w:rPr>
          <w:rFonts w:ascii="Times New Roman" w:hAnsi="Times New Roman" w:cs="Times New Roman"/>
          <w:b/>
          <w:bCs/>
          <w:sz w:val="24"/>
          <w:szCs w:val="24"/>
        </w:rPr>
        <w:t>Rizika přijatelná</w:t>
      </w:r>
      <w:r w:rsidRPr="00D11A1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4</w:t>
      </w:r>
      <w:r w:rsidR="005D7950">
        <w:rPr>
          <w:rFonts w:ascii="Times New Roman" w:hAnsi="Times New Roman" w:cs="Times New Roman"/>
          <w:sz w:val="24"/>
          <w:szCs w:val="24"/>
        </w:rPr>
        <w:t xml:space="preserve"> hrozeb</w:t>
      </w:r>
      <w:r w:rsidRPr="00D11A12">
        <w:rPr>
          <w:rFonts w:ascii="Times New Roman" w:hAnsi="Times New Roman" w:cs="Times New Roman"/>
          <w:sz w:val="24"/>
          <w:szCs w:val="24"/>
        </w:rPr>
        <w:t xml:space="preserve">) – nepředpokládá se přijímání mimořádných opatření. Zpravidla se jedná o situace zvládnutelné v režimu běžné činnosti složek IZS a správních úřadů. Vzhledem k nízké míře rizika lze do této kategorie zařadit také nebezpečí vyřazená v předběžné analýze. </w:t>
      </w:r>
    </w:p>
    <w:tbl>
      <w:tblPr>
        <w:tblW w:w="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</w:tblGrid>
      <w:tr w:rsidR="00D11A12" w:rsidRPr="00D11A12" w14:paraId="7B316E6F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10612E14" w14:textId="0AD48A48" w:rsidR="00D11A12" w:rsidRPr="00D11A12" w:rsidRDefault="00D11A12" w:rsidP="00E53816">
            <w:pPr>
              <w:jc w:val="both"/>
            </w:pPr>
            <w:r w:rsidRPr="00D11A12">
              <w:t>Atmosférické výboje</w:t>
            </w:r>
          </w:p>
        </w:tc>
      </w:tr>
      <w:tr w:rsidR="00D11A12" w:rsidRPr="00D11A12" w14:paraId="229D7FE5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326688DE" w14:textId="77777777" w:rsidR="00D11A12" w:rsidRPr="00D11A12" w:rsidRDefault="00D11A12" w:rsidP="00E53816">
            <w:pPr>
              <w:jc w:val="both"/>
            </w:pPr>
            <w:r w:rsidRPr="00D11A12">
              <w:t>Požár v zástavbě a v průmyslu</w:t>
            </w:r>
          </w:p>
        </w:tc>
      </w:tr>
      <w:tr w:rsidR="00D11A12" w:rsidRPr="00D11A12" w14:paraId="2FDC07A4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0F404677" w14:textId="77777777" w:rsidR="00D11A12" w:rsidRPr="00D11A12" w:rsidRDefault="00D11A12" w:rsidP="00E53816">
            <w:pPr>
              <w:jc w:val="both"/>
            </w:pPr>
            <w:r w:rsidRPr="00D11A12">
              <w:t>Propad zemských dutin</w:t>
            </w:r>
          </w:p>
        </w:tc>
      </w:tr>
      <w:tr w:rsidR="00D11A12" w:rsidRPr="00D11A12" w14:paraId="42E15D47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271DF233" w14:textId="77777777" w:rsidR="00D11A12" w:rsidRPr="00D11A12" w:rsidRDefault="00D11A12" w:rsidP="00E53816">
            <w:pPr>
              <w:jc w:val="both"/>
            </w:pPr>
            <w:r w:rsidRPr="00D11A12">
              <w:t>Sněhová kalamita</w:t>
            </w:r>
          </w:p>
        </w:tc>
      </w:tr>
      <w:tr w:rsidR="00D11A12" w:rsidRPr="00D11A12" w14:paraId="3649ACDC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5AC442F6" w14:textId="77777777" w:rsidR="00D11A12" w:rsidRPr="00D11A12" w:rsidRDefault="00D11A12" w:rsidP="00E53816">
            <w:pPr>
              <w:jc w:val="both"/>
            </w:pPr>
            <w:r w:rsidRPr="00D11A12">
              <w:t>Svahová nestabilita</w:t>
            </w:r>
          </w:p>
        </w:tc>
      </w:tr>
      <w:tr w:rsidR="00E53816" w:rsidRPr="00D11A12" w14:paraId="7ED5A38F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4197FD1A" w14:textId="465B2ADF" w:rsidR="00E53816" w:rsidRPr="00D11A12" w:rsidRDefault="00E53816" w:rsidP="00E53816">
            <w:pPr>
              <w:jc w:val="both"/>
            </w:pPr>
            <w:r w:rsidRPr="00E53816">
              <w:t>Výbuch</w:t>
            </w:r>
            <w:r>
              <w:t xml:space="preserve"> v zástavbě a v průmyslu</w:t>
            </w:r>
          </w:p>
        </w:tc>
      </w:tr>
      <w:tr w:rsidR="00E53816" w:rsidRPr="00D11A12" w14:paraId="00F68428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64F0B256" w14:textId="6F471595" w:rsidR="00E53816" w:rsidRPr="00D11A12" w:rsidRDefault="00E53816" w:rsidP="008F0FE0">
            <w:pPr>
              <w:jc w:val="both"/>
            </w:pPr>
            <w:r>
              <w:t>Vydatné srážky</w:t>
            </w:r>
          </w:p>
        </w:tc>
      </w:tr>
      <w:tr w:rsidR="00E53816" w:rsidRPr="00D11A12" w14:paraId="75C97AF0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0C38B020" w14:textId="7D3D04FA" w:rsidR="00E53816" w:rsidRPr="00D11A12" w:rsidRDefault="00E53816" w:rsidP="008F0FE0">
            <w:pPr>
              <w:jc w:val="both"/>
            </w:pPr>
            <w:r>
              <w:t>Epifytie – hromadné nákazy polních kultur</w:t>
            </w:r>
          </w:p>
        </w:tc>
      </w:tr>
      <w:tr w:rsidR="00E53816" w:rsidRPr="00D11A12" w14:paraId="7F979132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4D7E412F" w14:textId="73C0B9AD" w:rsidR="00E53816" w:rsidRPr="00D11A12" w:rsidRDefault="00E53816" w:rsidP="008F0FE0">
            <w:pPr>
              <w:jc w:val="both"/>
            </w:pPr>
            <w:r>
              <w:t>Propad starých důlních děl</w:t>
            </w:r>
          </w:p>
        </w:tc>
      </w:tr>
      <w:tr w:rsidR="00E53816" w:rsidRPr="00D11A12" w14:paraId="3E65B172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74AA254B" w14:textId="0A5B89F5" w:rsidR="00E53816" w:rsidRPr="00D11A12" w:rsidRDefault="00E53816" w:rsidP="008F0FE0">
            <w:pPr>
              <w:jc w:val="both"/>
            </w:pPr>
            <w:r>
              <w:t>Zemětřesení</w:t>
            </w:r>
          </w:p>
        </w:tc>
      </w:tr>
      <w:tr w:rsidR="00E53816" w:rsidRPr="00D11A12" w14:paraId="1D6F6DDA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0745D7AB" w14:textId="650CD763" w:rsidR="00E53816" w:rsidRPr="00D11A12" w:rsidRDefault="00E53816" w:rsidP="008F0FE0">
            <w:pPr>
              <w:jc w:val="both"/>
            </w:pPr>
            <w:r>
              <w:t>Únik radioaktivní látky při přepravě</w:t>
            </w:r>
          </w:p>
        </w:tc>
      </w:tr>
      <w:tr w:rsidR="00E53816" w:rsidRPr="00D11A12" w14:paraId="69603518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56D5F68C" w14:textId="643226C2" w:rsidR="00E53816" w:rsidRPr="00D11A12" w:rsidRDefault="00E53816" w:rsidP="008F0FE0">
            <w:pPr>
              <w:jc w:val="both"/>
            </w:pPr>
            <w:r>
              <w:t>Sněhová lavina</w:t>
            </w:r>
          </w:p>
        </w:tc>
      </w:tr>
      <w:tr w:rsidR="00E53816" w:rsidRPr="00D11A12" w14:paraId="3324BEEB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2AE1CA90" w14:textId="70FD6242" w:rsidR="00E53816" w:rsidRPr="00D11A12" w:rsidRDefault="00E53816" w:rsidP="008F0FE0">
            <w:pPr>
              <w:jc w:val="both"/>
            </w:pPr>
            <w:r>
              <w:t>Únik biologických agens a toxinu při přepravě</w:t>
            </w:r>
          </w:p>
        </w:tc>
      </w:tr>
      <w:tr w:rsidR="00E53816" w:rsidRPr="00D11A12" w14:paraId="283EA3A5" w14:textId="77777777" w:rsidTr="00640C69">
        <w:trPr>
          <w:trHeight w:val="312"/>
        </w:trPr>
        <w:tc>
          <w:tcPr>
            <w:tcW w:w="7370" w:type="dxa"/>
            <w:shd w:val="clear" w:color="000000" w:fill="auto"/>
            <w:noWrap/>
            <w:vAlign w:val="center"/>
          </w:tcPr>
          <w:p w14:paraId="23BD1796" w14:textId="3D1CAF41" w:rsidR="00E53816" w:rsidRPr="00D11A12" w:rsidRDefault="00E53816" w:rsidP="008F0FE0">
            <w:pPr>
              <w:jc w:val="both"/>
            </w:pPr>
            <w:r>
              <w:t>Radiační havárie</w:t>
            </w:r>
          </w:p>
        </w:tc>
      </w:tr>
    </w:tbl>
    <w:p w14:paraId="57E8F761" w14:textId="77777777" w:rsidR="00640C69" w:rsidRDefault="00640C69" w:rsidP="00B9797C">
      <w:pPr>
        <w:jc w:val="both"/>
        <w:rPr>
          <w:rFonts w:eastAsiaTheme="minorHAnsi" w:cstheme="minorBidi"/>
          <w:szCs w:val="22"/>
          <w:lang w:eastAsia="en-US"/>
        </w:rPr>
      </w:pPr>
    </w:p>
    <w:p w14:paraId="16E3DB41" w14:textId="3BB79F38" w:rsidR="00D11A12" w:rsidRDefault="005D7950" w:rsidP="00640C69">
      <w:pPr>
        <w:spacing w:after="1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Přehled typů hrozeb s uvedením celkové míry rizika na území Karlovarského kraje</w:t>
      </w:r>
      <w:r w:rsidR="00BF0F52">
        <w:rPr>
          <w:rFonts w:eastAsiaTheme="minorHAnsi" w:cstheme="minorBidi"/>
          <w:szCs w:val="22"/>
          <w:lang w:eastAsia="en-US"/>
        </w:rPr>
        <w:t>, tedy i na území jednotlivých ORP</w:t>
      </w:r>
      <w:r>
        <w:rPr>
          <w:rFonts w:eastAsiaTheme="minorHAnsi" w:cstheme="minorBidi"/>
          <w:szCs w:val="22"/>
          <w:lang w:eastAsia="en-US"/>
        </w:rPr>
        <w:t xml:space="preserve"> je graficky znázorněn na obr. č. 1.</w:t>
      </w:r>
    </w:p>
    <w:p w14:paraId="790BBA16" w14:textId="643C9ED2" w:rsidR="002A7E6D" w:rsidRPr="002A7E6D" w:rsidRDefault="005D7950" w:rsidP="001E15CE">
      <w:pPr>
        <w:spacing w:after="80"/>
        <w:jc w:val="both"/>
        <w:rPr>
          <w:rFonts w:eastAsiaTheme="minorHAnsi" w:cstheme="minorBidi"/>
          <w:b/>
          <w:color w:val="000000"/>
          <w:sz w:val="8"/>
          <w:szCs w:val="8"/>
          <w:lang w:eastAsia="en-US"/>
        </w:rPr>
      </w:pPr>
      <w:r>
        <w:rPr>
          <w:rFonts w:eastAsiaTheme="minorHAnsi" w:cstheme="minorBidi"/>
          <w:b/>
          <w:color w:val="000000"/>
          <w:szCs w:val="22"/>
          <w:lang w:eastAsia="en-US"/>
        </w:rPr>
        <w:lastRenderedPageBreak/>
        <w:t>Obr. č.</w:t>
      </w:r>
      <w:r w:rsidR="00083E0B">
        <w:rPr>
          <w:rFonts w:eastAsiaTheme="minorHAnsi" w:cstheme="minorBidi"/>
          <w:b/>
          <w:color w:val="000000"/>
          <w:szCs w:val="22"/>
          <w:lang w:eastAsia="en-US"/>
        </w:rPr>
        <w:t xml:space="preserve"> </w:t>
      </w:r>
      <w:r>
        <w:rPr>
          <w:rFonts w:eastAsiaTheme="minorHAnsi" w:cstheme="minorBidi"/>
          <w:b/>
          <w:color w:val="000000"/>
          <w:szCs w:val="22"/>
          <w:lang w:eastAsia="en-US"/>
        </w:rPr>
        <w:t>1: Přehled hrozeb s identifikovanou mírou rizika na území K</w:t>
      </w:r>
      <w:r w:rsidR="00BF0F52">
        <w:rPr>
          <w:rFonts w:eastAsiaTheme="minorHAnsi" w:cstheme="minorBidi"/>
          <w:b/>
          <w:color w:val="000000"/>
          <w:szCs w:val="22"/>
          <w:lang w:eastAsia="en-US"/>
        </w:rPr>
        <w:t>arlovarského kraje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790"/>
      </w:tblGrid>
      <w:tr w:rsidR="002A7E6D" w14:paraId="2C602CEF" w14:textId="77777777" w:rsidTr="008F0FE0">
        <w:trPr>
          <w:trHeight w:val="227"/>
        </w:trPr>
        <w:tc>
          <w:tcPr>
            <w:tcW w:w="2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BF6C151" w14:textId="47DB28C0" w:rsidR="002A7E6D" w:rsidRPr="002A7E6D" w:rsidRDefault="002A7E6D" w:rsidP="002A7E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Migrační vlny velkého rozsahu</w:t>
            </w:r>
          </w:p>
        </w:tc>
        <w:tc>
          <w:tcPr>
            <w:tcW w:w="2606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463311E" w14:textId="77777777" w:rsidR="002A7E6D" w:rsidRPr="00F278D7" w:rsidRDefault="002A7E6D" w:rsidP="008F0FE0">
            <w:pPr>
              <w:jc w:val="both"/>
              <w:rPr>
                <w:szCs w:val="22"/>
                <w:highlight w:val="cyan"/>
              </w:rPr>
            </w:pPr>
            <w:r>
              <w:rPr>
                <w:noProof/>
              </w:rPr>
              <w:drawing>
                <wp:inline distT="0" distB="0" distL="0" distR="0" wp14:anchorId="7CD8E5F7" wp14:editId="27FB3CE1">
                  <wp:extent cx="3028950" cy="690308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258" cy="690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E6D" w14:paraId="04EEB3C3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0A888E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bezpečnosti informací informační KI*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C996CC5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6EE9FCD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472F7E3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potravin*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99C9435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28E2A44A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B75608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ropy a ropných produktů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105DC57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3BEDE409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9C56495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 xml:space="preserve">Narušení finančního a devizového </w:t>
            </w:r>
            <w:proofErr w:type="spellStart"/>
            <w:r w:rsidRPr="00E06170">
              <w:rPr>
                <w:sz w:val="21"/>
                <w:szCs w:val="21"/>
              </w:rPr>
              <w:t>hosp</w:t>
            </w:r>
            <w:proofErr w:type="spellEnd"/>
            <w:r w:rsidRPr="00E06170">
              <w:rPr>
                <w:sz w:val="21"/>
                <w:szCs w:val="21"/>
              </w:rPr>
              <w:t>. státu*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44B0565C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220F916A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051F43A" w14:textId="77777777" w:rsidR="002A7E6D" w:rsidRPr="00E06170" w:rsidRDefault="002A7E6D" w:rsidP="008F0FE0">
            <w:pPr>
              <w:ind w:firstLine="62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 xml:space="preserve">Narušení funkčnosti </w:t>
            </w:r>
            <w:proofErr w:type="spellStart"/>
            <w:r w:rsidRPr="00E06170">
              <w:rPr>
                <w:sz w:val="21"/>
                <w:szCs w:val="21"/>
              </w:rPr>
              <w:t>význ</w:t>
            </w:r>
            <w:proofErr w:type="spellEnd"/>
            <w:r w:rsidRPr="00E06170">
              <w:rPr>
                <w:sz w:val="21"/>
                <w:szCs w:val="21"/>
              </w:rPr>
              <w:t xml:space="preserve">. </w:t>
            </w:r>
            <w:proofErr w:type="spellStart"/>
            <w:r w:rsidRPr="00E06170">
              <w:rPr>
                <w:sz w:val="21"/>
                <w:szCs w:val="21"/>
              </w:rPr>
              <w:t>sys</w:t>
            </w:r>
            <w:proofErr w:type="spellEnd"/>
            <w:r w:rsidRPr="00E06170">
              <w:rPr>
                <w:sz w:val="21"/>
                <w:szCs w:val="21"/>
              </w:rPr>
              <w:t>. el. komunikací*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3132F6F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2E33D82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A4A4C0D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Extrémní vítr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F545F93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8EABEFB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2BB530E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elektrické energie*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476E2E15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154C50B3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D9DD8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Povodeň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6F8D2834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319FE7A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C0959B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Zvláštní povodeň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6382617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7510FA8E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4431B0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Přívalová povodeň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E32FC97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3328AC3B" w14:textId="77777777" w:rsidTr="008F0FE0">
        <w:trPr>
          <w:trHeight w:val="227"/>
        </w:trPr>
        <w:tc>
          <w:tcPr>
            <w:tcW w:w="23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769014A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Epidemie – hromadné nákazy osob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02633659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2B82EE7" w14:textId="77777777" w:rsidTr="008F0FE0">
        <w:trPr>
          <w:trHeight w:val="227"/>
        </w:trPr>
        <w:tc>
          <w:tcPr>
            <w:tcW w:w="2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A641A3E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Narušování zákonnosti (včetně terorismu)*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D4F9FF4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26592ADB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EEC36E6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Extrémně vysoké teploty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702ED5F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3C34AC31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5CDE920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Náledí a ledovka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07755B1A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9E6BEC4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BBEB309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pitné vody velkého rozsahu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6DE734F0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78E860FC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4314E7B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Závažná nehoda v letecké dopravě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29C8006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3E4C86AD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5DD98AA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Únik nebezpečné chemické látky při přepravě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13661A4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47CFB6F8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8D77A3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Závažná nehoda v silniční dopravě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D790C0B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3B39306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6AB320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tepla velkého rozsahu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0ABA3B0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440A1427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B1BF8DE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Závažná nehoda v drážní dopravě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B270C28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3768C244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1B3E9CB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 xml:space="preserve">Únik </w:t>
            </w:r>
            <w:proofErr w:type="spellStart"/>
            <w:r w:rsidRPr="00E06170">
              <w:rPr>
                <w:sz w:val="21"/>
                <w:szCs w:val="21"/>
              </w:rPr>
              <w:t>NChL</w:t>
            </w:r>
            <w:proofErr w:type="spellEnd"/>
            <w:r w:rsidRPr="00E06170">
              <w:rPr>
                <w:sz w:val="21"/>
                <w:szCs w:val="21"/>
              </w:rPr>
              <w:t xml:space="preserve"> ze stacionárního zařízení*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E1CF17A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246C66E4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8F188BD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Výskyt extrémně nízké teploty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51792EC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868CA56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DB3F5BE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Námraza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BE76DB7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1BCFEF6E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72742AD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Dlouhodobé sucho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8359CDF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26B4C01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210F54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Požár v</w:t>
            </w:r>
            <w:r>
              <w:rPr>
                <w:sz w:val="21"/>
                <w:szCs w:val="21"/>
              </w:rPr>
              <w:t> </w:t>
            </w:r>
            <w:r w:rsidRPr="00E06170">
              <w:rPr>
                <w:sz w:val="21"/>
                <w:szCs w:val="21"/>
              </w:rPr>
              <w:t>přírodě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655BE1D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7BD0D47D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FAAB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Narušení dodávek plynu velkého rozsahu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0055EF7A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1C45C2A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74AFF5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Epizootie – hromadné nákazy zvířat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388F0520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E038CC0" w14:textId="77777777" w:rsidTr="008F0FE0">
        <w:trPr>
          <w:trHeight w:val="227"/>
        </w:trPr>
        <w:tc>
          <w:tcPr>
            <w:tcW w:w="23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510924C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Nález nevybuchlé munice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7C93BB0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76A2D3A6" w14:textId="77777777" w:rsidTr="008F0FE0">
        <w:trPr>
          <w:trHeight w:val="227"/>
        </w:trPr>
        <w:tc>
          <w:tcPr>
            <w:tcW w:w="2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93B9C56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Atmosférické výboje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EE94904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66559C8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F9E8628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Požár v zástavbě a v průmyslu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F8D9A4D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A6F0368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9323762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Propad zemských dutin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66836964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41CD31D2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FE2A411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Sněhová kalamita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64BD009B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44A60B6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7FD1443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Svahová nestabilita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42FF396A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05C6D53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46D11B7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Výbuch v zástavbě a v průmyslu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274D6D07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766EC7A5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4DAE371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Vydatné srážky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6C543B2B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12057D5B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2EDFBDB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Epifytie – hromadné nákazy polních kultur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4EE3BE39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8BC533C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7A6CE11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Propad starých důlních děl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553C635A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D0096AF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BD1C89D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Zemětřesení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7A0A0221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38ED63D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AA1AA97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Únik radioaktivní látky při přepravě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371A35CD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689E1412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9BD90B1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 xml:space="preserve">Sněhová lavina 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1864A86D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592FF115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374D267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Únik biologických agens a toxinu při přepravě</w:t>
            </w:r>
          </w:p>
        </w:tc>
        <w:tc>
          <w:tcPr>
            <w:tcW w:w="2606" w:type="pct"/>
            <w:vMerge/>
            <w:tcBorders>
              <w:right w:val="single" w:sz="12" w:space="0" w:color="auto"/>
            </w:tcBorders>
          </w:tcPr>
          <w:p w14:paraId="03B8876C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  <w:tr w:rsidR="002A7E6D" w14:paraId="0F3F2948" w14:textId="77777777" w:rsidTr="008F0FE0">
        <w:trPr>
          <w:trHeight w:val="227"/>
        </w:trPr>
        <w:tc>
          <w:tcPr>
            <w:tcW w:w="23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F408AF9" w14:textId="77777777" w:rsidR="002A7E6D" w:rsidRPr="00E06170" w:rsidRDefault="002A7E6D" w:rsidP="008F0FE0">
            <w:pPr>
              <w:ind w:firstLine="62"/>
              <w:jc w:val="both"/>
              <w:rPr>
                <w:sz w:val="21"/>
                <w:szCs w:val="21"/>
              </w:rPr>
            </w:pPr>
            <w:r w:rsidRPr="00E06170">
              <w:rPr>
                <w:sz w:val="21"/>
                <w:szCs w:val="21"/>
              </w:rPr>
              <w:t>Radiační havárie</w:t>
            </w:r>
          </w:p>
        </w:tc>
        <w:tc>
          <w:tcPr>
            <w:tcW w:w="2606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202BDB" w14:textId="77777777" w:rsidR="002A7E6D" w:rsidRPr="00F278D7" w:rsidRDefault="002A7E6D" w:rsidP="008F0FE0">
            <w:pPr>
              <w:ind w:firstLine="62"/>
              <w:jc w:val="both"/>
              <w:rPr>
                <w:szCs w:val="22"/>
                <w:highlight w:val="cyan"/>
              </w:rPr>
            </w:pPr>
          </w:p>
        </w:tc>
      </w:tr>
    </w:tbl>
    <w:p w14:paraId="051F75E4" w14:textId="77777777" w:rsidR="002A7E6D" w:rsidRDefault="002A7E6D" w:rsidP="002A7E6D">
      <w:pPr>
        <w:tabs>
          <w:tab w:val="left" w:pos="4253"/>
        </w:tabs>
        <w:rPr>
          <w:snapToGrid w:val="0"/>
          <w:sz w:val="16"/>
        </w:rPr>
      </w:pPr>
      <w:r>
        <w:rPr>
          <w:b/>
          <w:snapToGrid w:val="0"/>
          <w:sz w:val="18"/>
        </w:rPr>
        <w:tab/>
      </w:r>
      <w:r w:rsidRPr="001B20D0">
        <w:rPr>
          <w:snapToGrid w:val="0"/>
          <w:sz w:val="16"/>
        </w:rPr>
        <w:t>0</w:t>
      </w:r>
      <w:r>
        <w:rPr>
          <w:snapToGrid w:val="0"/>
          <w:sz w:val="16"/>
        </w:rPr>
        <w:t xml:space="preserve">         </w:t>
      </w:r>
      <w:r w:rsidRPr="001B20D0">
        <w:rPr>
          <w:snapToGrid w:val="0"/>
          <w:sz w:val="16"/>
        </w:rPr>
        <w:t>5</w:t>
      </w:r>
      <w:r>
        <w:rPr>
          <w:snapToGrid w:val="0"/>
          <w:sz w:val="16"/>
        </w:rPr>
        <w:t xml:space="preserve">         </w:t>
      </w:r>
      <w:r w:rsidRPr="001B20D0">
        <w:rPr>
          <w:snapToGrid w:val="0"/>
          <w:sz w:val="16"/>
        </w:rPr>
        <w:t>10</w:t>
      </w:r>
      <w:r>
        <w:rPr>
          <w:snapToGrid w:val="0"/>
          <w:sz w:val="16"/>
        </w:rPr>
        <w:t xml:space="preserve">        </w:t>
      </w:r>
      <w:r w:rsidRPr="001B20D0">
        <w:rPr>
          <w:snapToGrid w:val="0"/>
          <w:sz w:val="16"/>
        </w:rPr>
        <w:t>15</w:t>
      </w:r>
      <w:r>
        <w:rPr>
          <w:snapToGrid w:val="0"/>
          <w:sz w:val="16"/>
        </w:rPr>
        <w:t xml:space="preserve">       </w:t>
      </w:r>
      <w:r w:rsidRPr="001B20D0">
        <w:rPr>
          <w:snapToGrid w:val="0"/>
          <w:sz w:val="16"/>
        </w:rPr>
        <w:t>20</w:t>
      </w:r>
      <w:r>
        <w:rPr>
          <w:snapToGrid w:val="0"/>
          <w:sz w:val="16"/>
        </w:rPr>
        <w:t xml:space="preserve">         </w:t>
      </w:r>
      <w:r w:rsidRPr="001B20D0">
        <w:rPr>
          <w:snapToGrid w:val="0"/>
          <w:sz w:val="16"/>
        </w:rPr>
        <w:t>25</w:t>
      </w:r>
      <w:r>
        <w:rPr>
          <w:snapToGrid w:val="0"/>
          <w:sz w:val="16"/>
        </w:rPr>
        <w:t xml:space="preserve">       </w:t>
      </w:r>
      <w:r w:rsidRPr="001B20D0">
        <w:rPr>
          <w:snapToGrid w:val="0"/>
          <w:sz w:val="16"/>
        </w:rPr>
        <w:t>30</w:t>
      </w:r>
      <w:r>
        <w:rPr>
          <w:snapToGrid w:val="0"/>
          <w:sz w:val="16"/>
        </w:rPr>
        <w:t xml:space="preserve">         </w:t>
      </w:r>
      <w:r w:rsidRPr="001B20D0">
        <w:rPr>
          <w:snapToGrid w:val="0"/>
          <w:sz w:val="16"/>
        </w:rPr>
        <w:t>35</w:t>
      </w:r>
      <w:r>
        <w:rPr>
          <w:snapToGrid w:val="0"/>
          <w:sz w:val="16"/>
        </w:rPr>
        <w:t xml:space="preserve">       </w:t>
      </w:r>
      <w:r w:rsidRPr="001B20D0">
        <w:rPr>
          <w:snapToGrid w:val="0"/>
          <w:sz w:val="16"/>
        </w:rPr>
        <w:t>40</w:t>
      </w:r>
      <w:r>
        <w:rPr>
          <w:snapToGrid w:val="0"/>
          <w:sz w:val="16"/>
        </w:rPr>
        <w:t xml:space="preserve">        </w:t>
      </w:r>
      <w:r w:rsidRPr="001B20D0">
        <w:rPr>
          <w:snapToGrid w:val="0"/>
          <w:sz w:val="16"/>
        </w:rPr>
        <w:t>45</w:t>
      </w:r>
      <w:r>
        <w:rPr>
          <w:snapToGrid w:val="0"/>
          <w:sz w:val="16"/>
        </w:rPr>
        <w:t xml:space="preserve">       </w:t>
      </w:r>
      <w:r w:rsidRPr="001B20D0">
        <w:rPr>
          <w:snapToGrid w:val="0"/>
          <w:sz w:val="16"/>
        </w:rPr>
        <w:t>50</w:t>
      </w:r>
    </w:p>
    <w:p w14:paraId="22FA714A" w14:textId="77777777" w:rsidR="002A7E6D" w:rsidRPr="00BB493E" w:rsidRDefault="002A7E6D" w:rsidP="002A7E6D">
      <w:pPr>
        <w:tabs>
          <w:tab w:val="left" w:pos="4536"/>
          <w:tab w:val="center" w:pos="6804"/>
        </w:tabs>
        <w:jc w:val="both"/>
        <w:rPr>
          <w:b/>
          <w:snapToGrid w:val="0"/>
          <w:sz w:val="16"/>
        </w:rPr>
      </w:pP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 w:rsidRPr="00BB493E">
        <w:rPr>
          <w:b/>
          <w:snapToGrid w:val="0"/>
          <w:sz w:val="16"/>
        </w:rPr>
        <w:t>Celkové riziko</w:t>
      </w:r>
    </w:p>
    <w:p w14:paraId="10C821BF" w14:textId="23978007" w:rsidR="001B4A97" w:rsidRDefault="002A7E6D" w:rsidP="002A7E6D">
      <w:pPr>
        <w:jc w:val="both"/>
        <w:rPr>
          <w:b/>
        </w:rPr>
      </w:pPr>
      <w:r w:rsidRPr="002A7E6D">
        <w:rPr>
          <w:b/>
        </w:rPr>
        <w:t xml:space="preserve">* </w:t>
      </w:r>
      <w:r>
        <w:rPr>
          <w:b/>
        </w:rPr>
        <w:t xml:space="preserve">Názvy </w:t>
      </w:r>
      <w:r w:rsidR="00640C69">
        <w:rPr>
          <w:b/>
        </w:rPr>
        <w:t>těchto</w:t>
      </w:r>
      <w:r>
        <w:rPr>
          <w:b/>
        </w:rPr>
        <w:t xml:space="preserve"> nebezpečí byly zkráceny pro potřeby grafického znázornění analýzy</w:t>
      </w:r>
      <w:r w:rsidR="00640C69">
        <w:rPr>
          <w:b/>
        </w:rPr>
        <w:t xml:space="preserve"> ohrožení území Karlovarského kraje.</w:t>
      </w:r>
    </w:p>
    <w:p w14:paraId="06175501" w14:textId="4824AD47" w:rsidR="00452992" w:rsidRDefault="00452992" w:rsidP="002A7E6D">
      <w:pPr>
        <w:jc w:val="both"/>
        <w:rPr>
          <w:b/>
        </w:rPr>
      </w:pPr>
    </w:p>
    <w:p w14:paraId="1C859965" w14:textId="77777777" w:rsidR="00452992" w:rsidRDefault="00452992" w:rsidP="002A7E6D">
      <w:pPr>
        <w:jc w:val="both"/>
        <w:rPr>
          <w:b/>
        </w:rPr>
      </w:pPr>
    </w:p>
    <w:p w14:paraId="4218532F" w14:textId="76F12782" w:rsidR="00452992" w:rsidRDefault="00452992" w:rsidP="002A7E6D">
      <w:pPr>
        <w:jc w:val="both"/>
        <w:rPr>
          <w:b/>
        </w:rPr>
      </w:pPr>
      <w:r>
        <w:rPr>
          <w:b/>
        </w:rPr>
        <w:t>Závěrečné shrnutí změn oproti analýze ohrožení 2020 (2023)</w:t>
      </w:r>
    </w:p>
    <w:p w14:paraId="7433BFB1" w14:textId="004DD8F3" w:rsidR="00452992" w:rsidRPr="002A7E6D" w:rsidRDefault="00452992" w:rsidP="002A7E6D">
      <w:pPr>
        <w:jc w:val="both"/>
        <w:rPr>
          <w:b/>
        </w:rPr>
      </w:pPr>
      <w:r>
        <w:t>Celková míra rizika u jednotlivých hrozeb, a tím i jejich zařazení do skupin, zůstává oproti analýze ohrožení 2020 (2023) v návrhu celkové aktualizace analýzy ohrožení 2024 beze změn.</w:t>
      </w:r>
    </w:p>
    <w:sectPr w:rsidR="00452992" w:rsidRPr="002A7E6D" w:rsidSect="00640C69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BA06" w14:textId="77777777" w:rsidR="00EE2A6F" w:rsidRDefault="00EE2A6F">
      <w:r>
        <w:separator/>
      </w:r>
    </w:p>
  </w:endnote>
  <w:endnote w:type="continuationSeparator" w:id="0">
    <w:p w14:paraId="35F2363E" w14:textId="77777777" w:rsidR="00EE2A6F" w:rsidRDefault="00E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1111717"/>
      <w:docPartObj>
        <w:docPartGallery w:val="Page Numbers (Bottom of Page)"/>
        <w:docPartUnique/>
      </w:docPartObj>
    </w:sdtPr>
    <w:sdtEndPr/>
    <w:sdtContent>
      <w:p w14:paraId="264B7380" w14:textId="77777777" w:rsidR="00640C69" w:rsidRDefault="00640C69">
        <w:pPr>
          <w:pStyle w:val="Zpat"/>
          <w:jc w:val="center"/>
        </w:pPr>
        <w:r w:rsidRPr="00640C69">
          <w:rPr>
            <w:rFonts w:ascii="Times New Roman" w:hAnsi="Times New Roman" w:cs="Times New Roman"/>
            <w:sz w:val="24"/>
          </w:rPr>
          <w:fldChar w:fldCharType="begin"/>
        </w:r>
        <w:r w:rsidRPr="00640C69">
          <w:rPr>
            <w:rFonts w:ascii="Times New Roman" w:hAnsi="Times New Roman" w:cs="Times New Roman"/>
            <w:sz w:val="24"/>
          </w:rPr>
          <w:instrText>PAGE   \* MERGEFORMAT</w:instrText>
        </w:r>
        <w:r w:rsidRPr="00640C69">
          <w:rPr>
            <w:rFonts w:ascii="Times New Roman" w:hAnsi="Times New Roman" w:cs="Times New Roman"/>
            <w:sz w:val="24"/>
          </w:rPr>
          <w:fldChar w:fldCharType="separate"/>
        </w:r>
        <w:r w:rsidRPr="00640C69">
          <w:rPr>
            <w:rFonts w:ascii="Times New Roman" w:hAnsi="Times New Roman" w:cs="Times New Roman"/>
            <w:sz w:val="24"/>
          </w:rPr>
          <w:t>2</w:t>
        </w:r>
        <w:r w:rsidRPr="00640C6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</w:rPr>
      <w:id w:val="-1432812124"/>
      <w:docPartObj>
        <w:docPartGallery w:val="Page Numbers (Bottom of Page)"/>
        <w:docPartUnique/>
      </w:docPartObj>
    </w:sdtPr>
    <w:sdtEndPr/>
    <w:sdtContent>
      <w:p w14:paraId="7167EF23" w14:textId="6FBFA360" w:rsidR="001E561E" w:rsidRPr="00640C69" w:rsidRDefault="001E561E">
        <w:pPr>
          <w:pStyle w:val="Zpat"/>
          <w:jc w:val="center"/>
          <w:rPr>
            <w:rFonts w:ascii="Times New Roman" w:hAnsi="Times New Roman" w:cs="Times New Roman"/>
            <w:sz w:val="24"/>
          </w:rPr>
        </w:pPr>
        <w:r w:rsidRPr="00640C69">
          <w:rPr>
            <w:rFonts w:ascii="Times New Roman" w:hAnsi="Times New Roman" w:cs="Times New Roman"/>
            <w:sz w:val="24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45E65" w14:textId="77777777" w:rsidR="00EE2A6F" w:rsidRDefault="00EE2A6F">
      <w:r>
        <w:separator/>
      </w:r>
    </w:p>
  </w:footnote>
  <w:footnote w:type="continuationSeparator" w:id="0">
    <w:p w14:paraId="49082A90" w14:textId="77777777" w:rsidR="00EE2A6F" w:rsidRDefault="00EE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876D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F7DAFF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343236"/>
    <w:multiLevelType w:val="hybridMultilevel"/>
    <w:tmpl w:val="0CF67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46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96D50"/>
    <w:multiLevelType w:val="hybridMultilevel"/>
    <w:tmpl w:val="C0167D84"/>
    <w:lvl w:ilvl="0" w:tplc="A3546A2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D61BC"/>
    <w:multiLevelType w:val="hybridMultilevel"/>
    <w:tmpl w:val="498291DC"/>
    <w:lvl w:ilvl="0" w:tplc="11ECE0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37FA"/>
    <w:multiLevelType w:val="hybridMultilevel"/>
    <w:tmpl w:val="E8E4F5FA"/>
    <w:lvl w:ilvl="0" w:tplc="3224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877B7"/>
    <w:multiLevelType w:val="hybridMultilevel"/>
    <w:tmpl w:val="D076DEE2"/>
    <w:lvl w:ilvl="0" w:tplc="2DAA51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AA55D0"/>
    <w:multiLevelType w:val="hybridMultilevel"/>
    <w:tmpl w:val="D97868E4"/>
    <w:lvl w:ilvl="0" w:tplc="7688B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B30EC"/>
    <w:multiLevelType w:val="hybridMultilevel"/>
    <w:tmpl w:val="3238E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A685E"/>
    <w:multiLevelType w:val="hybridMultilevel"/>
    <w:tmpl w:val="47DE7A0A"/>
    <w:lvl w:ilvl="0" w:tplc="385EFC8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938019">
    <w:abstractNumId w:val="10"/>
  </w:num>
  <w:num w:numId="2" w16cid:durableId="1289316080">
    <w:abstractNumId w:val="4"/>
  </w:num>
  <w:num w:numId="3" w16cid:durableId="1737975090">
    <w:abstractNumId w:val="7"/>
  </w:num>
  <w:num w:numId="4" w16cid:durableId="1877039435">
    <w:abstractNumId w:val="1"/>
  </w:num>
  <w:num w:numId="5" w16cid:durableId="451098206">
    <w:abstractNumId w:val="0"/>
    <w:lvlOverride w:ilvl="0">
      <w:startOverride w:val="1"/>
    </w:lvlOverride>
  </w:num>
  <w:num w:numId="6" w16cid:durableId="2101830716">
    <w:abstractNumId w:val="6"/>
  </w:num>
  <w:num w:numId="7" w16cid:durableId="467477615">
    <w:abstractNumId w:val="8"/>
  </w:num>
  <w:num w:numId="8" w16cid:durableId="1111123440">
    <w:abstractNumId w:val="2"/>
  </w:num>
  <w:num w:numId="9" w16cid:durableId="1115558698">
    <w:abstractNumId w:val="9"/>
  </w:num>
  <w:num w:numId="10" w16cid:durableId="109251156">
    <w:abstractNumId w:val="3"/>
  </w:num>
  <w:num w:numId="11" w16cid:durableId="196892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D2"/>
    <w:rsid w:val="000362B1"/>
    <w:rsid w:val="00050341"/>
    <w:rsid w:val="00062F33"/>
    <w:rsid w:val="000670CA"/>
    <w:rsid w:val="0008373B"/>
    <w:rsid w:val="00083E0B"/>
    <w:rsid w:val="000929DB"/>
    <w:rsid w:val="0009518C"/>
    <w:rsid w:val="00096203"/>
    <w:rsid w:val="000A6E05"/>
    <w:rsid w:val="000B1B4B"/>
    <w:rsid w:val="000C3705"/>
    <w:rsid w:val="001011FA"/>
    <w:rsid w:val="00167F15"/>
    <w:rsid w:val="0017483C"/>
    <w:rsid w:val="00187890"/>
    <w:rsid w:val="00193185"/>
    <w:rsid w:val="001A46FA"/>
    <w:rsid w:val="001A52FF"/>
    <w:rsid w:val="001A5749"/>
    <w:rsid w:val="001B4A97"/>
    <w:rsid w:val="001E06DF"/>
    <w:rsid w:val="001E15CE"/>
    <w:rsid w:val="001E561E"/>
    <w:rsid w:val="001E6C06"/>
    <w:rsid w:val="00215398"/>
    <w:rsid w:val="00227741"/>
    <w:rsid w:val="002421CB"/>
    <w:rsid w:val="0025688D"/>
    <w:rsid w:val="00265459"/>
    <w:rsid w:val="00272C58"/>
    <w:rsid w:val="00272FA5"/>
    <w:rsid w:val="002A7E6D"/>
    <w:rsid w:val="002B3115"/>
    <w:rsid w:val="002F5093"/>
    <w:rsid w:val="003164A8"/>
    <w:rsid w:val="00324B8A"/>
    <w:rsid w:val="00351E38"/>
    <w:rsid w:val="0036233B"/>
    <w:rsid w:val="00374D4F"/>
    <w:rsid w:val="00385716"/>
    <w:rsid w:val="003860CA"/>
    <w:rsid w:val="00394120"/>
    <w:rsid w:val="003D2E38"/>
    <w:rsid w:val="003E3523"/>
    <w:rsid w:val="00443830"/>
    <w:rsid w:val="00444C73"/>
    <w:rsid w:val="00452992"/>
    <w:rsid w:val="004721BB"/>
    <w:rsid w:val="0049186C"/>
    <w:rsid w:val="004D6A77"/>
    <w:rsid w:val="00500DF6"/>
    <w:rsid w:val="0050295F"/>
    <w:rsid w:val="00503885"/>
    <w:rsid w:val="005050E3"/>
    <w:rsid w:val="0051182B"/>
    <w:rsid w:val="00525555"/>
    <w:rsid w:val="00591D8B"/>
    <w:rsid w:val="00595E40"/>
    <w:rsid w:val="005C278F"/>
    <w:rsid w:val="005D7950"/>
    <w:rsid w:val="005E2F8C"/>
    <w:rsid w:val="00622D5F"/>
    <w:rsid w:val="00632752"/>
    <w:rsid w:val="00640C69"/>
    <w:rsid w:val="00666CC0"/>
    <w:rsid w:val="00684934"/>
    <w:rsid w:val="006A27E1"/>
    <w:rsid w:val="006B0096"/>
    <w:rsid w:val="006B1AE7"/>
    <w:rsid w:val="006D5094"/>
    <w:rsid w:val="00701CAF"/>
    <w:rsid w:val="00701D50"/>
    <w:rsid w:val="007458E5"/>
    <w:rsid w:val="007B142B"/>
    <w:rsid w:val="007C543B"/>
    <w:rsid w:val="007D471D"/>
    <w:rsid w:val="007D6674"/>
    <w:rsid w:val="007F785A"/>
    <w:rsid w:val="00801D56"/>
    <w:rsid w:val="00822D78"/>
    <w:rsid w:val="00844171"/>
    <w:rsid w:val="0086191C"/>
    <w:rsid w:val="008A754A"/>
    <w:rsid w:val="008C1FD6"/>
    <w:rsid w:val="00921713"/>
    <w:rsid w:val="00925DEE"/>
    <w:rsid w:val="00960402"/>
    <w:rsid w:val="009671D2"/>
    <w:rsid w:val="00995CE3"/>
    <w:rsid w:val="009A7D94"/>
    <w:rsid w:val="00A00FF6"/>
    <w:rsid w:val="00A07003"/>
    <w:rsid w:val="00A11A48"/>
    <w:rsid w:val="00A221EB"/>
    <w:rsid w:val="00A326E4"/>
    <w:rsid w:val="00AB24E0"/>
    <w:rsid w:val="00AB63D8"/>
    <w:rsid w:val="00AC3324"/>
    <w:rsid w:val="00AD0C89"/>
    <w:rsid w:val="00AE51B3"/>
    <w:rsid w:val="00B00E35"/>
    <w:rsid w:val="00B028A5"/>
    <w:rsid w:val="00B0565A"/>
    <w:rsid w:val="00B123E3"/>
    <w:rsid w:val="00B16435"/>
    <w:rsid w:val="00B23C0A"/>
    <w:rsid w:val="00B2511D"/>
    <w:rsid w:val="00B555EC"/>
    <w:rsid w:val="00B57E74"/>
    <w:rsid w:val="00B7175A"/>
    <w:rsid w:val="00B73B6B"/>
    <w:rsid w:val="00B74777"/>
    <w:rsid w:val="00B9732D"/>
    <w:rsid w:val="00B9797C"/>
    <w:rsid w:val="00BF0F52"/>
    <w:rsid w:val="00C13727"/>
    <w:rsid w:val="00C33C7C"/>
    <w:rsid w:val="00C354A3"/>
    <w:rsid w:val="00C57DC2"/>
    <w:rsid w:val="00C72899"/>
    <w:rsid w:val="00C855C9"/>
    <w:rsid w:val="00D11A12"/>
    <w:rsid w:val="00D4337E"/>
    <w:rsid w:val="00D918D8"/>
    <w:rsid w:val="00DB7365"/>
    <w:rsid w:val="00DC79AD"/>
    <w:rsid w:val="00DF5E83"/>
    <w:rsid w:val="00E0123C"/>
    <w:rsid w:val="00E53816"/>
    <w:rsid w:val="00E75ED5"/>
    <w:rsid w:val="00E80537"/>
    <w:rsid w:val="00E966A3"/>
    <w:rsid w:val="00EA7D81"/>
    <w:rsid w:val="00EC358C"/>
    <w:rsid w:val="00EC3EC7"/>
    <w:rsid w:val="00EE272C"/>
    <w:rsid w:val="00EE2A6F"/>
    <w:rsid w:val="00EE6506"/>
    <w:rsid w:val="00EF2992"/>
    <w:rsid w:val="00EF7ED0"/>
    <w:rsid w:val="00F1309A"/>
    <w:rsid w:val="00F141A2"/>
    <w:rsid w:val="00F22903"/>
    <w:rsid w:val="00F56F64"/>
    <w:rsid w:val="00F6297F"/>
    <w:rsid w:val="00F70624"/>
    <w:rsid w:val="00F74994"/>
    <w:rsid w:val="00F82158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7467"/>
  <w15:chartTrackingRefBased/>
  <w15:docId w15:val="{495502CF-C2E1-432C-9427-D0AC8A8B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lavička"/>
    <w:basedOn w:val="Normln"/>
    <w:next w:val="Normln"/>
    <w:link w:val="Nadpis1Char"/>
    <w:qFormat/>
    <w:rsid w:val="000C3705"/>
    <w:pPr>
      <w:keepNext/>
      <w:suppressAutoHyphens/>
      <w:outlineLvl w:val="0"/>
    </w:pPr>
    <w:rPr>
      <w:kern w:val="1"/>
      <w:sz w:val="2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Hlavička tučně"/>
    <w:basedOn w:val="Normln"/>
    <w:next w:val="Normln"/>
    <w:link w:val="Nadpis4Char"/>
    <w:qFormat/>
    <w:rsid w:val="000C3705"/>
    <w:pPr>
      <w:keepNext/>
      <w:numPr>
        <w:ilvl w:val="3"/>
        <w:numId w:val="4"/>
      </w:numPr>
      <w:tabs>
        <w:tab w:val="left" w:pos="360"/>
      </w:tabs>
      <w:suppressAutoHyphens/>
      <w:ind w:left="0" w:firstLine="0"/>
      <w:jc w:val="both"/>
      <w:outlineLvl w:val="3"/>
    </w:pPr>
    <w:rPr>
      <w:b/>
      <w:bCs/>
      <w:sz w:val="20"/>
      <w:szCs w:val="20"/>
      <w:lang w:val="x-none"/>
    </w:rPr>
  </w:style>
  <w:style w:type="paragraph" w:styleId="Nadpis5">
    <w:name w:val="heading 5"/>
    <w:basedOn w:val="Normln"/>
    <w:next w:val="Normln"/>
    <w:link w:val="Nadpis5Char"/>
    <w:rsid w:val="000C3705"/>
    <w:pPr>
      <w:numPr>
        <w:ilvl w:val="4"/>
        <w:numId w:val="4"/>
      </w:numPr>
      <w:suppressAutoHyphens/>
      <w:spacing w:before="240" w:after="60"/>
      <w:jc w:val="both"/>
      <w:outlineLvl w:val="4"/>
    </w:pPr>
    <w:rPr>
      <w:b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565A"/>
    <w:rPr>
      <w:color w:val="0563C1" w:themeColor="hyperlink"/>
      <w:u w:val="single"/>
    </w:rPr>
  </w:style>
  <w:style w:type="paragraph" w:styleId="Odstavecseseznamem">
    <w:name w:val="List Paragraph"/>
    <w:aliases w:val="Tučné"/>
    <w:basedOn w:val="Normln"/>
    <w:qFormat/>
    <w:rsid w:val="00B056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1D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D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D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1D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D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D50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9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F2992"/>
  </w:style>
  <w:style w:type="paragraph" w:styleId="Zhlav">
    <w:name w:val="header"/>
    <w:basedOn w:val="Normln"/>
    <w:link w:val="ZhlavChar"/>
    <w:uiPriority w:val="99"/>
    <w:unhideWhenUsed/>
    <w:rsid w:val="00167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F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Hlavička Char"/>
    <w:basedOn w:val="Standardnpsmoodstavce"/>
    <w:link w:val="Nadpis1"/>
    <w:rsid w:val="000C3705"/>
    <w:rPr>
      <w:rFonts w:ascii="Times New Roman" w:eastAsia="Times New Roman" w:hAnsi="Times New Roman" w:cs="Times New Roman"/>
      <w:kern w:val="1"/>
      <w:sz w:val="20"/>
      <w:szCs w:val="32"/>
      <w:lang w:eastAsia="cs-CZ"/>
    </w:rPr>
  </w:style>
  <w:style w:type="table" w:styleId="Mkatabulky">
    <w:name w:val="Table Grid"/>
    <w:basedOn w:val="Normlntabulka"/>
    <w:rsid w:val="000C370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aliases w:val="Hlavička tučně Char"/>
    <w:basedOn w:val="Standardnpsmoodstavce"/>
    <w:link w:val="Nadpis4"/>
    <w:rsid w:val="000C370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0C3705"/>
    <w:rPr>
      <w:rFonts w:ascii="Times New Roman" w:eastAsia="Times New Roman" w:hAnsi="Times New Roman" w:cs="Times New Roman"/>
      <w:b/>
      <w:i/>
      <w:iCs/>
      <w:sz w:val="26"/>
      <w:szCs w:val="26"/>
      <w:lang w:val="x-none" w:eastAsia="cs-CZ"/>
    </w:rPr>
  </w:style>
  <w:style w:type="paragraph" w:customStyle="1" w:styleId="Hlavikatunvelitkost12">
    <w:name w:val="Hlavička tučně velitkost 12"/>
    <w:basedOn w:val="Nadpis4"/>
    <w:link w:val="Hlavikatunvelitkost12Char"/>
    <w:qFormat/>
    <w:rsid w:val="000C3705"/>
    <w:rPr>
      <w:sz w:val="24"/>
    </w:rPr>
  </w:style>
  <w:style w:type="character" w:customStyle="1" w:styleId="Hlavikatunvelitkost12Char">
    <w:name w:val="Hlavička tučně velitkost 12 Char"/>
    <w:basedOn w:val="Standardnpsmoodstavce"/>
    <w:link w:val="Hlavikatunvelitkost12"/>
    <w:rsid w:val="000C3705"/>
    <w:rPr>
      <w:rFonts w:ascii="Times New Roman" w:eastAsia="Times New Roman" w:hAnsi="Times New Roman" w:cs="Times New Roman"/>
      <w:b/>
      <w:bCs/>
      <w:sz w:val="24"/>
      <w:szCs w:val="20"/>
      <w:lang w:val="x-none" w:eastAsia="cs-CZ"/>
    </w:rPr>
  </w:style>
  <w:style w:type="paragraph" w:styleId="slovanseznam">
    <w:name w:val="List Number"/>
    <w:basedOn w:val="Normln"/>
    <w:rsid w:val="007458E5"/>
    <w:pPr>
      <w:numPr>
        <w:numId w:val="5"/>
      </w:numPr>
    </w:pPr>
    <w:rPr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2F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A4BA-B25F-4ED1-B3CF-87ADFFA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Štěříková Nela</dc:creator>
  <cp:keywords/>
  <dc:description/>
  <cp:lastModifiedBy>Kučerová Eliška</cp:lastModifiedBy>
  <cp:revision>9</cp:revision>
  <dcterms:created xsi:type="dcterms:W3CDTF">2024-08-02T08:46:00Z</dcterms:created>
  <dcterms:modified xsi:type="dcterms:W3CDTF">2024-11-07T10:14:00Z</dcterms:modified>
</cp:coreProperties>
</file>